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D3" w:rsidRPr="00E42B79" w:rsidRDefault="007A4FE5" w:rsidP="005342B1">
      <w:pPr>
        <w:spacing w:after="0" w:line="240" w:lineRule="auto"/>
        <w:rPr>
          <w:rFonts w:ascii="Arial" w:hAnsi="Arial" w:cs="Arial"/>
          <w:b/>
          <w:color w:val="008000"/>
          <w:sz w:val="24"/>
          <w:szCs w:val="24"/>
        </w:rPr>
      </w:pPr>
      <w:r w:rsidRPr="00E42B79">
        <w:rPr>
          <w:rFonts w:ascii="Arial" w:hAnsi="Arial" w:cs="Arial"/>
          <w:color w:val="008000"/>
          <w:sz w:val="28"/>
          <w:szCs w:val="28"/>
        </w:rPr>
        <w:t xml:space="preserve">Digestion of </w:t>
      </w:r>
      <w:r w:rsidR="00952D2D" w:rsidRPr="00E42B79">
        <w:rPr>
          <w:rFonts w:ascii="Arial" w:hAnsi="Arial" w:cs="Arial"/>
          <w:color w:val="008000"/>
          <w:sz w:val="28"/>
          <w:szCs w:val="28"/>
        </w:rPr>
        <w:t>starch</w:t>
      </w:r>
      <w:r w:rsidRPr="00E42B79">
        <w:rPr>
          <w:rFonts w:ascii="Arial" w:hAnsi="Arial" w:cs="Arial"/>
          <w:color w:val="008000"/>
          <w:sz w:val="28"/>
          <w:szCs w:val="28"/>
        </w:rPr>
        <w:t>: m</w:t>
      </w:r>
      <w:r w:rsidR="00165072" w:rsidRPr="00E42B79">
        <w:rPr>
          <w:rFonts w:ascii="Arial" w:hAnsi="Arial" w:cs="Arial"/>
          <w:color w:val="008000"/>
          <w:sz w:val="28"/>
          <w:szCs w:val="28"/>
        </w:rPr>
        <w:t>icrobes</w:t>
      </w:r>
    </w:p>
    <w:p w:rsidR="005342B1" w:rsidRPr="00E42B79" w:rsidRDefault="005342B1" w:rsidP="005342B1">
      <w:pPr>
        <w:spacing w:after="0" w:line="240" w:lineRule="auto"/>
        <w:rPr>
          <w:rFonts w:ascii="Arial" w:hAnsi="Arial" w:cs="Arial"/>
        </w:rPr>
      </w:pPr>
    </w:p>
    <w:p w:rsidR="00E42B79" w:rsidRPr="00E42B79" w:rsidRDefault="00E42B79" w:rsidP="00E42B79">
      <w:pPr>
        <w:pStyle w:val="Heading3"/>
        <w:rPr>
          <w:b w:val="0"/>
        </w:rPr>
      </w:pPr>
      <w:r w:rsidRPr="00E42B79">
        <w:rPr>
          <w:b w:val="0"/>
        </w:rPr>
        <w:t>The purpose of this practical is:</w:t>
      </w:r>
    </w:p>
    <w:p w:rsidR="00E42B79" w:rsidRPr="00E42B79" w:rsidRDefault="00E42B79" w:rsidP="00E42B79">
      <w:pPr>
        <w:numPr>
          <w:ilvl w:val="0"/>
          <w:numId w:val="19"/>
        </w:numPr>
        <w:spacing w:after="0" w:line="240" w:lineRule="auto"/>
        <w:rPr>
          <w:rFonts w:ascii="Arial" w:hAnsi="Arial" w:cs="Arial"/>
        </w:rPr>
      </w:pPr>
      <w:r w:rsidRPr="00E42B79">
        <w:rPr>
          <w:rFonts w:ascii="Arial" w:hAnsi="Arial" w:cs="Arial"/>
        </w:rPr>
        <w:t>to compare the starch-digesting activity of two bacterial cultures with amylase solution</w:t>
      </w:r>
    </w:p>
    <w:p w:rsidR="00E42B79" w:rsidRPr="00E42B79" w:rsidRDefault="00E42B79" w:rsidP="00E42B79">
      <w:pPr>
        <w:numPr>
          <w:ilvl w:val="0"/>
          <w:numId w:val="19"/>
        </w:numPr>
        <w:spacing w:after="0" w:line="240" w:lineRule="auto"/>
        <w:rPr>
          <w:rFonts w:ascii="Arial" w:hAnsi="Arial" w:cs="Arial"/>
        </w:rPr>
      </w:pPr>
      <w:r w:rsidRPr="00E42B79">
        <w:rPr>
          <w:rFonts w:ascii="Arial" w:hAnsi="Arial" w:cs="Arial"/>
        </w:rPr>
        <w:t>to evaluate a quantitative method for assaying enzyme activity</w:t>
      </w:r>
    </w:p>
    <w:p w:rsidR="00E42B79" w:rsidRPr="00E42B79" w:rsidRDefault="00E42B79" w:rsidP="00E42B79">
      <w:pPr>
        <w:numPr>
          <w:ilvl w:val="0"/>
          <w:numId w:val="19"/>
        </w:numPr>
        <w:spacing w:after="0" w:line="240" w:lineRule="auto"/>
        <w:rPr>
          <w:rFonts w:ascii="Arial" w:hAnsi="Arial" w:cs="Arial"/>
        </w:rPr>
      </w:pPr>
      <w:r w:rsidRPr="00E42B79">
        <w:rPr>
          <w:rFonts w:ascii="Arial" w:hAnsi="Arial" w:cs="Arial"/>
        </w:rPr>
        <w:t>to introduce the use of enzymes in industrial processes.</w:t>
      </w:r>
    </w:p>
    <w:p w:rsidR="00E42B79" w:rsidRPr="00E42B79" w:rsidRDefault="00E42B79" w:rsidP="00E42B79">
      <w:pPr>
        <w:pStyle w:val="Heading3"/>
      </w:pPr>
      <w:r w:rsidRPr="00E42B79">
        <w:t xml:space="preserve">Procedure </w:t>
      </w:r>
    </w:p>
    <w:p w:rsidR="00E42B79" w:rsidRPr="00E42B79" w:rsidRDefault="00E42B79" w:rsidP="00E42B79">
      <w:pPr>
        <w:rPr>
          <w:rFonts w:ascii="Arial" w:hAnsi="Arial" w:cs="Arial"/>
        </w:rPr>
      </w:pPr>
      <w:r w:rsidRPr="00E42B79">
        <w:rPr>
          <w:rFonts w:ascii="Arial" w:hAnsi="Arial" w:cs="Arial"/>
        </w:rPr>
        <w:t>SAFETY:</w:t>
      </w:r>
    </w:p>
    <w:p w:rsidR="00E42B79" w:rsidRPr="00E42B79" w:rsidRDefault="00E42B79" w:rsidP="00E42B79">
      <w:pPr>
        <w:rPr>
          <w:rFonts w:ascii="Arial" w:hAnsi="Arial" w:cs="Arial"/>
        </w:rPr>
      </w:pPr>
      <w:r w:rsidRPr="00E42B79">
        <w:rPr>
          <w:rFonts w:ascii="Arial" w:hAnsi="Arial" w:cs="Arial"/>
        </w:rPr>
        <w:t>Take care when working near the Bunsen burner flame. Concentrate on not contaminating the stock cultures, or introducing any unwanted microbes into your investigation.</w:t>
      </w:r>
    </w:p>
    <w:p w:rsidR="00E42B79" w:rsidRPr="00E42B79" w:rsidRDefault="00E42B79" w:rsidP="00E42B79">
      <w:pPr>
        <w:rPr>
          <w:rFonts w:ascii="Arial" w:hAnsi="Arial" w:cs="Arial"/>
        </w:rPr>
      </w:pPr>
      <w:r w:rsidRPr="00E42B79">
        <w:rPr>
          <w:rFonts w:ascii="Arial" w:hAnsi="Arial" w:cs="Arial"/>
        </w:rPr>
        <w:t>Wear eye protection when handling iodine solution.</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 xml:space="preserve">Collect a starch-nutrient agar plate for your group. Your teacher will keep one for the class unopened as a control. </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Use a marker pen to mark four sections on the base. Label the sections A, B, C, and D. Label with your initials and the date.</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Write a key to record the treatment of each disc, and your results, for example</w:t>
      </w:r>
    </w:p>
    <w:p w:rsidR="00E42B79" w:rsidRPr="00E42B79" w:rsidRDefault="00E42B79" w:rsidP="00E42B79">
      <w:pPr>
        <w:rPr>
          <w:rFonts w:ascii="Arial" w:hAnsi="Arial" w:cs="Arial"/>
        </w:rPr>
      </w:pPr>
    </w:p>
    <w:tbl>
      <w:tblPr>
        <w:tblStyle w:val="TableGrid"/>
        <w:tblW w:w="3200" w:type="pct"/>
        <w:tblInd w:w="288" w:type="dxa"/>
        <w:tblLook w:val="01E0"/>
      </w:tblPr>
      <w:tblGrid>
        <w:gridCol w:w="901"/>
        <w:gridCol w:w="2519"/>
        <w:gridCol w:w="2161"/>
      </w:tblGrid>
      <w:tr w:rsidR="00E42B79" w:rsidRPr="00E42B79" w:rsidTr="00693C0A">
        <w:tc>
          <w:tcPr>
            <w:tcW w:w="806" w:type="pct"/>
          </w:tcPr>
          <w:p w:rsidR="00E42B79" w:rsidRPr="00E42B79" w:rsidRDefault="00E42B79" w:rsidP="00693C0A">
            <w:pPr>
              <w:rPr>
                <w:rFonts w:ascii="Arial" w:hAnsi="Arial" w:cs="Arial"/>
              </w:rPr>
            </w:pPr>
            <w:r w:rsidRPr="00E42B79">
              <w:rPr>
                <w:rFonts w:ascii="Arial" w:hAnsi="Arial" w:cs="Arial"/>
              </w:rPr>
              <w:t>Area</w:t>
            </w:r>
          </w:p>
        </w:tc>
        <w:tc>
          <w:tcPr>
            <w:tcW w:w="2257" w:type="pct"/>
          </w:tcPr>
          <w:p w:rsidR="00E42B79" w:rsidRPr="00E42B79" w:rsidRDefault="00E42B79" w:rsidP="00693C0A">
            <w:pPr>
              <w:rPr>
                <w:rFonts w:ascii="Arial" w:hAnsi="Arial" w:cs="Arial"/>
              </w:rPr>
            </w:pPr>
            <w:r w:rsidRPr="00E42B79">
              <w:rPr>
                <w:rFonts w:ascii="Arial" w:hAnsi="Arial" w:cs="Arial"/>
              </w:rPr>
              <w:t>Treatment</w:t>
            </w:r>
          </w:p>
        </w:tc>
        <w:tc>
          <w:tcPr>
            <w:tcW w:w="1936" w:type="pct"/>
          </w:tcPr>
          <w:p w:rsidR="00E42B79" w:rsidRPr="00E42B79" w:rsidRDefault="00E42B79" w:rsidP="00693C0A">
            <w:pPr>
              <w:rPr>
                <w:rFonts w:ascii="Arial" w:hAnsi="Arial" w:cs="Arial"/>
              </w:rPr>
            </w:pPr>
            <w:r w:rsidRPr="00E42B79">
              <w:rPr>
                <w:rFonts w:ascii="Arial" w:hAnsi="Arial" w:cs="Arial"/>
              </w:rPr>
              <w:t>Diameter of clear zone</w:t>
            </w:r>
          </w:p>
        </w:tc>
      </w:tr>
      <w:tr w:rsidR="00E42B79" w:rsidRPr="00E42B79" w:rsidTr="00693C0A">
        <w:tc>
          <w:tcPr>
            <w:tcW w:w="806" w:type="pct"/>
          </w:tcPr>
          <w:p w:rsidR="00E42B79" w:rsidRPr="00E42B79" w:rsidRDefault="00E42B79" w:rsidP="00693C0A">
            <w:pPr>
              <w:rPr>
                <w:rFonts w:ascii="Arial" w:hAnsi="Arial" w:cs="Arial"/>
              </w:rPr>
            </w:pPr>
            <w:r w:rsidRPr="00E42B79">
              <w:rPr>
                <w:rFonts w:ascii="Arial" w:hAnsi="Arial" w:cs="Arial"/>
              </w:rPr>
              <w:t>A</w:t>
            </w:r>
          </w:p>
        </w:tc>
        <w:tc>
          <w:tcPr>
            <w:tcW w:w="2257" w:type="pct"/>
          </w:tcPr>
          <w:p w:rsidR="00E42B79" w:rsidRPr="00E42B79" w:rsidRDefault="00E42B79" w:rsidP="00693C0A">
            <w:pPr>
              <w:rPr>
                <w:rFonts w:ascii="Arial" w:hAnsi="Arial" w:cs="Arial"/>
                <w:i/>
              </w:rPr>
            </w:pPr>
            <w:r w:rsidRPr="00E42B79">
              <w:rPr>
                <w:rFonts w:ascii="Arial" w:hAnsi="Arial" w:cs="Arial"/>
                <w:i/>
              </w:rPr>
              <w:t>Bacillus subtilis</w:t>
            </w:r>
          </w:p>
        </w:tc>
        <w:tc>
          <w:tcPr>
            <w:tcW w:w="1936" w:type="pct"/>
          </w:tcPr>
          <w:p w:rsidR="00E42B79" w:rsidRPr="00E42B79" w:rsidRDefault="00E42B79" w:rsidP="00693C0A">
            <w:pPr>
              <w:rPr>
                <w:rFonts w:ascii="Arial" w:hAnsi="Arial" w:cs="Arial"/>
                <w:i/>
              </w:rPr>
            </w:pPr>
          </w:p>
        </w:tc>
      </w:tr>
      <w:tr w:rsidR="00E42B79" w:rsidRPr="00E42B79" w:rsidTr="00693C0A">
        <w:tc>
          <w:tcPr>
            <w:tcW w:w="806" w:type="pct"/>
          </w:tcPr>
          <w:p w:rsidR="00E42B79" w:rsidRPr="00E42B79" w:rsidRDefault="00E42B79" w:rsidP="00693C0A">
            <w:pPr>
              <w:rPr>
                <w:rFonts w:ascii="Arial" w:hAnsi="Arial" w:cs="Arial"/>
              </w:rPr>
            </w:pPr>
            <w:r w:rsidRPr="00E42B79">
              <w:rPr>
                <w:rFonts w:ascii="Arial" w:hAnsi="Arial" w:cs="Arial"/>
              </w:rPr>
              <w:t>B</w:t>
            </w:r>
          </w:p>
        </w:tc>
        <w:tc>
          <w:tcPr>
            <w:tcW w:w="2257" w:type="pct"/>
          </w:tcPr>
          <w:p w:rsidR="00E42B79" w:rsidRPr="00E42B79" w:rsidRDefault="00E42B79" w:rsidP="00693C0A">
            <w:pPr>
              <w:rPr>
                <w:rFonts w:ascii="Arial" w:hAnsi="Arial" w:cs="Arial"/>
                <w:i/>
              </w:rPr>
            </w:pPr>
            <w:r w:rsidRPr="00E42B79">
              <w:rPr>
                <w:rFonts w:ascii="Arial" w:hAnsi="Arial" w:cs="Arial"/>
                <w:i/>
              </w:rPr>
              <w:t>Escherichia coli</w:t>
            </w:r>
          </w:p>
        </w:tc>
        <w:tc>
          <w:tcPr>
            <w:tcW w:w="1936" w:type="pct"/>
          </w:tcPr>
          <w:p w:rsidR="00E42B79" w:rsidRPr="00E42B79" w:rsidRDefault="00E42B79" w:rsidP="00693C0A">
            <w:pPr>
              <w:rPr>
                <w:rFonts w:ascii="Arial" w:hAnsi="Arial" w:cs="Arial"/>
                <w:i/>
              </w:rPr>
            </w:pPr>
          </w:p>
        </w:tc>
      </w:tr>
      <w:tr w:rsidR="00E42B79" w:rsidRPr="00E42B79" w:rsidTr="00693C0A">
        <w:tc>
          <w:tcPr>
            <w:tcW w:w="806" w:type="pct"/>
          </w:tcPr>
          <w:p w:rsidR="00E42B79" w:rsidRPr="00E42B79" w:rsidRDefault="00E42B79" w:rsidP="00693C0A">
            <w:pPr>
              <w:rPr>
                <w:rFonts w:ascii="Arial" w:hAnsi="Arial" w:cs="Arial"/>
              </w:rPr>
            </w:pPr>
            <w:r w:rsidRPr="00E42B79">
              <w:rPr>
                <w:rFonts w:ascii="Arial" w:hAnsi="Arial" w:cs="Arial"/>
              </w:rPr>
              <w:t>C</w:t>
            </w:r>
          </w:p>
        </w:tc>
        <w:tc>
          <w:tcPr>
            <w:tcW w:w="2257" w:type="pct"/>
          </w:tcPr>
          <w:p w:rsidR="00E42B79" w:rsidRPr="00E42B79" w:rsidRDefault="00E42B79" w:rsidP="00693C0A">
            <w:pPr>
              <w:rPr>
                <w:rFonts w:ascii="Arial" w:hAnsi="Arial" w:cs="Arial"/>
              </w:rPr>
            </w:pPr>
            <w:r w:rsidRPr="00E42B79">
              <w:rPr>
                <w:rFonts w:ascii="Arial" w:hAnsi="Arial" w:cs="Arial"/>
              </w:rPr>
              <w:t>0.1% amylase solution</w:t>
            </w:r>
          </w:p>
        </w:tc>
        <w:tc>
          <w:tcPr>
            <w:tcW w:w="1936" w:type="pct"/>
          </w:tcPr>
          <w:p w:rsidR="00E42B79" w:rsidRPr="00E42B79" w:rsidRDefault="00E42B79" w:rsidP="00693C0A">
            <w:pPr>
              <w:rPr>
                <w:rFonts w:ascii="Arial" w:hAnsi="Arial" w:cs="Arial"/>
              </w:rPr>
            </w:pPr>
          </w:p>
        </w:tc>
      </w:tr>
      <w:tr w:rsidR="00E42B79" w:rsidRPr="00E42B79" w:rsidTr="00693C0A">
        <w:tc>
          <w:tcPr>
            <w:tcW w:w="806" w:type="pct"/>
          </w:tcPr>
          <w:p w:rsidR="00E42B79" w:rsidRPr="00E42B79" w:rsidRDefault="00E42B79" w:rsidP="00693C0A">
            <w:pPr>
              <w:rPr>
                <w:rFonts w:ascii="Arial" w:hAnsi="Arial" w:cs="Arial"/>
              </w:rPr>
            </w:pPr>
            <w:r w:rsidRPr="00E42B79">
              <w:rPr>
                <w:rFonts w:ascii="Arial" w:hAnsi="Arial" w:cs="Arial"/>
              </w:rPr>
              <w:t>D</w:t>
            </w:r>
          </w:p>
        </w:tc>
        <w:tc>
          <w:tcPr>
            <w:tcW w:w="2257" w:type="pct"/>
          </w:tcPr>
          <w:p w:rsidR="00E42B79" w:rsidRPr="00E42B79" w:rsidRDefault="00E42B79" w:rsidP="00693C0A">
            <w:pPr>
              <w:rPr>
                <w:rFonts w:ascii="Arial" w:hAnsi="Arial" w:cs="Arial"/>
              </w:rPr>
            </w:pPr>
            <w:r w:rsidRPr="00E42B79">
              <w:rPr>
                <w:rFonts w:ascii="Arial" w:hAnsi="Arial" w:cs="Arial"/>
              </w:rPr>
              <w:t>Distilled water</w:t>
            </w:r>
          </w:p>
        </w:tc>
        <w:tc>
          <w:tcPr>
            <w:tcW w:w="1936" w:type="pct"/>
          </w:tcPr>
          <w:p w:rsidR="00E42B79" w:rsidRPr="00E42B79" w:rsidRDefault="00E42B79" w:rsidP="00693C0A">
            <w:pPr>
              <w:rPr>
                <w:rFonts w:ascii="Arial" w:hAnsi="Arial" w:cs="Arial"/>
              </w:rPr>
            </w:pPr>
          </w:p>
        </w:tc>
      </w:tr>
    </w:tbl>
    <w:p w:rsidR="00E42B79" w:rsidRPr="00E42B79" w:rsidRDefault="00E42B79" w:rsidP="00E42B79">
      <w:pPr>
        <w:rPr>
          <w:rFonts w:ascii="Arial" w:hAnsi="Arial" w:cs="Arial"/>
        </w:rPr>
      </w:pPr>
      <w:r w:rsidRPr="00E42B79">
        <w:rPr>
          <w:rFonts w:ascii="Arial" w:hAnsi="Arial" w:cs="Arial"/>
        </w:rPr>
        <w:t xml:space="preserve"> </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 xml:space="preserve">Pass the forceps through a Bunsen burner flame. Allow them to cool and use them to pick up one of the paper discs. </w:t>
      </w:r>
    </w:p>
    <w:p w:rsidR="00E42B79" w:rsidRPr="00E42B79" w:rsidRDefault="00E42B79" w:rsidP="00E42B79">
      <w:pPr>
        <w:rPr>
          <w:rFonts w:ascii="Arial" w:hAnsi="Arial" w:cs="Arial"/>
        </w:rPr>
      </w:pPr>
    </w:p>
    <w:p w:rsidR="00E42B79" w:rsidRPr="00E42B79" w:rsidRDefault="003912AB" w:rsidP="00E42B79">
      <w:pPr>
        <w:rPr>
          <w:rFonts w:ascii="Arial" w:hAnsi="Arial" w:cs="Arial"/>
        </w:rPr>
      </w:pPr>
      <w:r>
        <w:rPr>
          <w:rFonts w:ascii="Arial" w:hAnsi="Arial" w:cs="Arial"/>
          <w:noProof/>
          <w:lang w:eastAsia="en-GB"/>
        </w:rPr>
        <w:drawing>
          <wp:inline distT="0" distB="0" distL="0" distR="0">
            <wp:extent cx="1419225" cy="1257300"/>
            <wp:effectExtent l="19050" t="0" r="9525" b="0"/>
            <wp:docPr id="2" name="Picture 2" descr="sterilising forceps in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ilising forceps in flame"/>
                    <pic:cNvPicPr>
                      <a:picLocks noChangeAspect="1" noChangeArrowheads="1"/>
                    </pic:cNvPicPr>
                  </pic:nvPicPr>
                  <pic:blipFill>
                    <a:blip r:embed="rId7" cstate="print"/>
                    <a:srcRect/>
                    <a:stretch>
                      <a:fillRect/>
                    </a:stretch>
                  </pic:blipFill>
                  <pic:spPr bwMode="auto">
                    <a:xfrm>
                      <a:off x="0" y="0"/>
                      <a:ext cx="1419225" cy="1257300"/>
                    </a:xfrm>
                    <a:prstGeom prst="rect">
                      <a:avLst/>
                    </a:prstGeom>
                    <a:noFill/>
                    <a:ln w="9525">
                      <a:noFill/>
                      <a:miter lim="800000"/>
                      <a:headEnd/>
                      <a:tailEnd/>
                    </a:ln>
                  </pic:spPr>
                </pic:pic>
              </a:graphicData>
            </a:graphic>
          </wp:inline>
        </w:drawing>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lastRenderedPageBreak/>
        <w:t>Open a bottle containing bacterial culture (or remove the cotton wool stopper from the test tube). Flame the neck and dip the disc into the broth. Allow excess to drip off. Flame the neck again and replace the top or stopper. Transfer the disc to the middle of the correct section on the agar plate.</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 xml:space="preserve">Repeat </w:t>
      </w:r>
      <w:r w:rsidRPr="00E42B79">
        <w:rPr>
          <w:rFonts w:ascii="Arial" w:hAnsi="Arial" w:cs="Arial"/>
          <w:b/>
        </w:rPr>
        <w:t>d</w:t>
      </w:r>
      <w:r w:rsidRPr="00E42B79">
        <w:rPr>
          <w:rFonts w:ascii="Arial" w:hAnsi="Arial" w:cs="Arial"/>
        </w:rPr>
        <w:t xml:space="preserve"> and </w:t>
      </w:r>
      <w:r w:rsidRPr="00E42B79">
        <w:rPr>
          <w:rFonts w:ascii="Arial" w:hAnsi="Arial" w:cs="Arial"/>
          <w:b/>
        </w:rPr>
        <w:t>e</w:t>
      </w:r>
      <w:r w:rsidRPr="00E42B79">
        <w:rPr>
          <w:rFonts w:ascii="Arial" w:hAnsi="Arial" w:cs="Arial"/>
        </w:rPr>
        <w:t xml:space="preserve"> using another disc and the other bacterial culture.</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 xml:space="preserve">Repeat </w:t>
      </w:r>
      <w:r w:rsidRPr="00E42B79">
        <w:rPr>
          <w:rFonts w:ascii="Arial" w:hAnsi="Arial" w:cs="Arial"/>
          <w:b/>
        </w:rPr>
        <w:t>d</w:t>
      </w:r>
      <w:r w:rsidRPr="00E42B79">
        <w:rPr>
          <w:rFonts w:ascii="Arial" w:hAnsi="Arial" w:cs="Arial"/>
        </w:rPr>
        <w:t xml:space="preserve"> and </w:t>
      </w:r>
      <w:r w:rsidRPr="00E42B79">
        <w:rPr>
          <w:rFonts w:ascii="Arial" w:hAnsi="Arial" w:cs="Arial"/>
          <w:b/>
        </w:rPr>
        <w:t>e</w:t>
      </w:r>
      <w:r w:rsidRPr="00E42B79">
        <w:rPr>
          <w:rFonts w:ascii="Arial" w:hAnsi="Arial" w:cs="Arial"/>
        </w:rPr>
        <w:t xml:space="preserve"> using another disc and the amylase solution.</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 xml:space="preserve">Repeat </w:t>
      </w:r>
      <w:r w:rsidRPr="00E42B79">
        <w:rPr>
          <w:rFonts w:ascii="Arial" w:hAnsi="Arial" w:cs="Arial"/>
          <w:b/>
        </w:rPr>
        <w:t>d</w:t>
      </w:r>
      <w:r w:rsidRPr="00E42B79">
        <w:rPr>
          <w:rFonts w:ascii="Arial" w:hAnsi="Arial" w:cs="Arial"/>
        </w:rPr>
        <w:t xml:space="preserve"> and </w:t>
      </w:r>
      <w:r w:rsidRPr="00E42B79">
        <w:rPr>
          <w:rFonts w:ascii="Arial" w:hAnsi="Arial" w:cs="Arial"/>
          <w:b/>
        </w:rPr>
        <w:t>e</w:t>
      </w:r>
      <w:r w:rsidRPr="00E42B79">
        <w:rPr>
          <w:rFonts w:ascii="Arial" w:hAnsi="Arial" w:cs="Arial"/>
        </w:rPr>
        <w:t xml:space="preserve"> using another disc and the distilled water.</w:t>
      </w:r>
    </w:p>
    <w:p w:rsidR="00E42B79" w:rsidRPr="00E42B79" w:rsidRDefault="003912AB" w:rsidP="00E42B79">
      <w:pPr>
        <w:rPr>
          <w:rFonts w:ascii="Arial" w:hAnsi="Arial" w:cs="Arial"/>
        </w:rPr>
      </w:pPr>
      <w:r>
        <w:rPr>
          <w:rFonts w:ascii="Arial" w:hAnsi="Arial" w:cs="Arial"/>
          <w:noProof/>
          <w:lang w:eastAsia="en-GB"/>
        </w:rPr>
        <w:drawing>
          <wp:inline distT="0" distB="0" distL="0" distR="0">
            <wp:extent cx="3733800" cy="2714625"/>
            <wp:effectExtent l="19050" t="0" r="0" b="0"/>
            <wp:docPr id="3" name="Picture 3" descr="Digestion-of-protein-by-microbes-sterile-paper-discs-on-agar-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gestion-of-protein-by-microbes-sterile-paper-discs-on-agar-392"/>
                    <pic:cNvPicPr>
                      <a:picLocks noChangeAspect="1" noChangeArrowheads="1"/>
                    </pic:cNvPicPr>
                  </pic:nvPicPr>
                  <pic:blipFill>
                    <a:blip r:embed="rId8" cstate="print"/>
                    <a:srcRect/>
                    <a:stretch>
                      <a:fillRect/>
                    </a:stretch>
                  </pic:blipFill>
                  <pic:spPr bwMode="auto">
                    <a:xfrm>
                      <a:off x="0" y="0"/>
                      <a:ext cx="3733800" cy="2714625"/>
                    </a:xfrm>
                    <a:prstGeom prst="rect">
                      <a:avLst/>
                    </a:prstGeom>
                    <a:noFill/>
                    <a:ln w="9525">
                      <a:noFill/>
                      <a:miter lim="800000"/>
                      <a:headEnd/>
                      <a:tailEnd/>
                    </a:ln>
                  </pic:spPr>
                </pic:pic>
              </a:graphicData>
            </a:graphic>
          </wp:inline>
        </w:drawing>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Place the forceps in a discard beaker.</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Tape up the dish.</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Incubate the plates.</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After 2-3 days, open the Petri dish and use a dropper to put in just enough iodine solution to cover the surface of the agar. Replace the lid. (It is safe to open the plate because your technical staff have killed any bacteria growing there.)</w:t>
      </w:r>
    </w:p>
    <w:p w:rsidR="00E42B79" w:rsidRPr="00E42B79" w:rsidRDefault="00E42B79" w:rsidP="00E42B79">
      <w:pPr>
        <w:numPr>
          <w:ilvl w:val="0"/>
          <w:numId w:val="18"/>
        </w:numPr>
        <w:spacing w:after="0" w:line="240" w:lineRule="auto"/>
        <w:rPr>
          <w:rFonts w:ascii="Arial" w:hAnsi="Arial" w:cs="Arial"/>
        </w:rPr>
      </w:pPr>
      <w:r w:rsidRPr="00E42B79">
        <w:rPr>
          <w:rFonts w:ascii="Arial" w:hAnsi="Arial" w:cs="Arial"/>
        </w:rPr>
        <w:t>Put the dish on squared paper. Measure and record the diameter of any clear zones around the discs. A wider diameter suggests a greater concentration of amylase.</w:t>
      </w:r>
    </w:p>
    <w:p w:rsidR="00E42B79" w:rsidRPr="00E42B79" w:rsidRDefault="00E42B79" w:rsidP="00E42B79">
      <w:pPr>
        <w:rPr>
          <w:rFonts w:ascii="Arial" w:hAnsi="Arial" w:cs="Arial"/>
        </w:rPr>
      </w:pPr>
    </w:p>
    <w:p w:rsidR="003843DB" w:rsidRPr="00E42B79" w:rsidRDefault="003912AB" w:rsidP="00E42B79">
      <w:pPr>
        <w:spacing w:after="0" w:line="240" w:lineRule="auto"/>
        <w:rPr>
          <w:rFonts w:ascii="Arial" w:hAnsi="Arial" w:cs="Arial"/>
        </w:rPr>
      </w:pPr>
      <w:r>
        <w:rPr>
          <w:rFonts w:ascii="Arial" w:hAnsi="Arial" w:cs="Arial"/>
          <w:noProof/>
          <w:lang w:eastAsia="en-GB"/>
        </w:rPr>
        <w:drawing>
          <wp:inline distT="0" distB="0" distL="0" distR="0">
            <wp:extent cx="4000500" cy="2552700"/>
            <wp:effectExtent l="19050" t="0" r="0" b="0"/>
            <wp:docPr id="4" name="Picture 4" descr="Investigating-antimicrobial-action-grid-paper-to-estimate-cleared-area-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stigating-antimicrobial-action-grid-paper-to-estimate-cleared-area-500"/>
                    <pic:cNvPicPr>
                      <a:picLocks noChangeAspect="1" noChangeArrowheads="1"/>
                    </pic:cNvPicPr>
                  </pic:nvPicPr>
                  <pic:blipFill>
                    <a:blip r:embed="rId9" cstate="print"/>
                    <a:srcRect/>
                    <a:stretch>
                      <a:fillRect/>
                    </a:stretch>
                  </pic:blipFill>
                  <pic:spPr bwMode="auto">
                    <a:xfrm>
                      <a:off x="0" y="0"/>
                      <a:ext cx="4000500" cy="2552700"/>
                    </a:xfrm>
                    <a:prstGeom prst="rect">
                      <a:avLst/>
                    </a:prstGeom>
                    <a:noFill/>
                    <a:ln w="9525">
                      <a:noFill/>
                      <a:miter lim="800000"/>
                      <a:headEnd/>
                      <a:tailEnd/>
                    </a:ln>
                  </pic:spPr>
                </pic:pic>
              </a:graphicData>
            </a:graphic>
          </wp:inline>
        </w:drawing>
      </w:r>
    </w:p>
    <w:p w:rsidR="003843DB" w:rsidRPr="00E42B79" w:rsidRDefault="003843DB" w:rsidP="003843DB">
      <w:pPr>
        <w:spacing w:after="0" w:line="240" w:lineRule="auto"/>
        <w:rPr>
          <w:rFonts w:ascii="Arial" w:hAnsi="Arial" w:cs="Arial"/>
        </w:rPr>
      </w:pPr>
    </w:p>
    <w:p w:rsidR="000B1E79" w:rsidRPr="00E42B79" w:rsidRDefault="000B1E79" w:rsidP="000B1E79">
      <w:pPr>
        <w:rPr>
          <w:rFonts w:ascii="Arial" w:hAnsi="Arial" w:cs="Arial"/>
          <w:b/>
          <w:color w:val="008000"/>
          <w:sz w:val="20"/>
          <w:szCs w:val="20"/>
        </w:rPr>
      </w:pPr>
      <w:r w:rsidRPr="00E42B79">
        <w:rPr>
          <w:rFonts w:ascii="Arial" w:hAnsi="Arial" w:cs="Arial"/>
          <w:b/>
          <w:color w:val="008000"/>
          <w:sz w:val="20"/>
          <w:szCs w:val="20"/>
        </w:rPr>
        <w:t>QUESTIONS</w:t>
      </w: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What is the purpose of the paper disc soaked in distilled water in this investigation?</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 xml:space="preserve">What do you know about the enzyme </w:t>
      </w:r>
      <w:r w:rsidRPr="00E42B79">
        <w:rPr>
          <w:rFonts w:ascii="Arial" w:hAnsi="Arial" w:cs="Arial"/>
          <w:i/>
          <w:sz w:val="24"/>
          <w:szCs w:val="24"/>
        </w:rPr>
        <w:t>amylase</w:t>
      </w:r>
      <w:r w:rsidRPr="00E42B79">
        <w:rPr>
          <w:rFonts w:ascii="Arial" w:hAnsi="Arial" w:cs="Arial"/>
          <w:sz w:val="24"/>
          <w:szCs w:val="24"/>
        </w:rPr>
        <w:t>?</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What does the iodine solution do to the agar plate?</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Which is the most active starch-digesting sample in your test?</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Industrial processes often use enzyme extracts rather than bacterial cultures to digest starch. What would be the advantage of an enzyme extract over a bacterial culture? Would it matter more if the product is a foodstuff or a fuel?</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You have measured the diameter of agar cleared by the enzyme and used this to measure the enzyme activity. What would you do to develop the accuracy of this technique? What are its limitations? How could you improve it?</w:t>
      </w:r>
    </w:p>
    <w:p w:rsidR="00E42B79" w:rsidRPr="00E42B79" w:rsidRDefault="00E42B79" w:rsidP="00E42B79">
      <w:pPr>
        <w:spacing w:after="0" w:line="240" w:lineRule="auto"/>
        <w:rPr>
          <w:rFonts w:ascii="Arial" w:hAnsi="Arial" w:cs="Arial"/>
          <w:sz w:val="24"/>
          <w:szCs w:val="24"/>
        </w:rPr>
      </w:pPr>
    </w:p>
    <w:p w:rsidR="00E42B79" w:rsidRPr="00E42B79" w:rsidRDefault="00E42B79" w:rsidP="00E42B79">
      <w:pPr>
        <w:numPr>
          <w:ilvl w:val="0"/>
          <w:numId w:val="7"/>
        </w:numPr>
        <w:spacing w:after="0" w:line="240" w:lineRule="auto"/>
        <w:rPr>
          <w:rFonts w:ascii="Arial" w:hAnsi="Arial" w:cs="Arial"/>
          <w:sz w:val="24"/>
          <w:szCs w:val="24"/>
        </w:rPr>
      </w:pPr>
      <w:r w:rsidRPr="00E42B79">
        <w:rPr>
          <w:rFonts w:ascii="Arial" w:hAnsi="Arial" w:cs="Arial"/>
          <w:sz w:val="24"/>
          <w:szCs w:val="24"/>
        </w:rPr>
        <w:t>How might you measure the activity of:</w:t>
      </w:r>
    </w:p>
    <w:p w:rsidR="00E42B79" w:rsidRPr="00E42B79" w:rsidRDefault="00E42B79" w:rsidP="00E42B79">
      <w:pPr>
        <w:numPr>
          <w:ilvl w:val="0"/>
          <w:numId w:val="20"/>
        </w:numPr>
        <w:spacing w:after="0" w:line="240" w:lineRule="auto"/>
        <w:rPr>
          <w:rFonts w:ascii="Arial" w:hAnsi="Arial" w:cs="Arial"/>
          <w:sz w:val="24"/>
          <w:szCs w:val="24"/>
        </w:rPr>
      </w:pPr>
      <w:r w:rsidRPr="00E42B79">
        <w:rPr>
          <w:rFonts w:ascii="Arial" w:hAnsi="Arial" w:cs="Arial"/>
          <w:sz w:val="24"/>
          <w:szCs w:val="24"/>
        </w:rPr>
        <w:t>a protein-digesting enzyme</w:t>
      </w:r>
    </w:p>
    <w:p w:rsidR="00E42B79" w:rsidRPr="00E42B79" w:rsidRDefault="00E42B79" w:rsidP="00E42B79">
      <w:pPr>
        <w:numPr>
          <w:ilvl w:val="0"/>
          <w:numId w:val="20"/>
        </w:numPr>
        <w:spacing w:after="0" w:line="240" w:lineRule="auto"/>
        <w:rPr>
          <w:rFonts w:ascii="Arial" w:hAnsi="Arial" w:cs="Arial"/>
        </w:rPr>
      </w:pPr>
      <w:r w:rsidRPr="00E42B79">
        <w:rPr>
          <w:rFonts w:ascii="Arial" w:hAnsi="Arial" w:cs="Arial"/>
        </w:rPr>
        <w:t>a fat-digesting enzyme?</w:t>
      </w: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3843DB" w:rsidRPr="00E42B79" w:rsidRDefault="003843DB" w:rsidP="003843DB">
      <w:pPr>
        <w:spacing w:after="0" w:line="240" w:lineRule="auto"/>
        <w:rPr>
          <w:rFonts w:ascii="Arial" w:hAnsi="Arial" w:cs="Arial"/>
        </w:rPr>
      </w:pPr>
    </w:p>
    <w:p w:rsidR="000B1E79" w:rsidRPr="00E42B79" w:rsidRDefault="000B1E79" w:rsidP="000B1E79">
      <w:pPr>
        <w:rPr>
          <w:rFonts w:ascii="Arial" w:hAnsi="Arial" w:cs="Arial"/>
          <w:b/>
          <w:color w:val="008000"/>
          <w:sz w:val="20"/>
          <w:szCs w:val="20"/>
        </w:rPr>
      </w:pPr>
      <w:r w:rsidRPr="00E42B79">
        <w:rPr>
          <w:rFonts w:ascii="Arial" w:hAnsi="Arial" w:cs="Arial"/>
          <w:b/>
          <w:color w:val="008000"/>
          <w:sz w:val="20"/>
          <w:szCs w:val="20"/>
        </w:rPr>
        <w:t>ANSWERS</w:t>
      </w: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 xml:space="preserve">The paper disc soaked in distilled water is a </w:t>
      </w:r>
      <w:r w:rsidRPr="00E42B79">
        <w:rPr>
          <w:rFonts w:ascii="Arial" w:hAnsi="Arial" w:cs="Arial"/>
          <w:i/>
          <w:sz w:val="24"/>
          <w:szCs w:val="24"/>
        </w:rPr>
        <w:t>control</w:t>
      </w:r>
      <w:r w:rsidRPr="00E42B79">
        <w:rPr>
          <w:rFonts w:ascii="Arial" w:hAnsi="Arial" w:cs="Arial"/>
          <w:sz w:val="24"/>
          <w:szCs w:val="24"/>
        </w:rPr>
        <w:t>. It shows us that any change in the starch is due to what we have soaked into the papers, not to the paper discs themselves or any other aspect of the technique.</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Amylase is an enzyme that digests starch and produces sugars. (Different amylases cleave the starch chain in different places and produce different products. The level of detailed knowledge required is left to the teacher!)</w:t>
      </w:r>
      <w:r>
        <w:rPr>
          <w:rFonts w:ascii="Arial" w:hAnsi="Arial" w:cs="Arial"/>
          <w:sz w:val="24"/>
          <w:szCs w:val="24"/>
        </w:rPr>
        <w:t>.</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Iodine solution turns starch blue-black. It clearly shows up where there is still starch in the plate and will not stain areas where all the starch has been digested. If you see a pale pink/ purple colour at the edges of the cleared areas, that is amylopectin.</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Depends on test results.</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Enzyme extracts will be easy to ‘stop’ in their action by heating and will not leave complex contaminants behind. They will be easier to keep sterile. This is especially important if the product is a foodstuff. However, bacterial cultures would continue to produce amylase, whereas an extract will have a finite life.</w:t>
      </w:r>
    </w:p>
    <w:p w:rsidR="00E42B79" w:rsidRPr="00E42B79" w:rsidRDefault="00E42B79" w:rsidP="00E42B79">
      <w:pPr>
        <w:spacing w:after="0" w:line="240" w:lineRule="auto"/>
        <w:rPr>
          <w:rFonts w:ascii="Arial" w:hAnsi="Arial" w:cs="Arial"/>
          <w:sz w:val="24"/>
          <w:szCs w:val="24"/>
        </w:rPr>
      </w:pPr>
    </w:p>
    <w:p w:rsid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You could develop the accuracy in lots of ways. Try to calibrate – with known concentrations of enzyme and consistent incubation processes. See what effect different concentrations of starch have. Limitations: Is the edge of the cleared area easy to see? Could you make it clearer with more concentrated starch or less concentrated? Does the result vary with varying incubation times or varying starch content?</w:t>
      </w:r>
    </w:p>
    <w:p w:rsidR="00E42B79" w:rsidRPr="00E42B79" w:rsidRDefault="00E42B79" w:rsidP="00E42B79">
      <w:pPr>
        <w:spacing w:after="0" w:line="240" w:lineRule="auto"/>
        <w:rPr>
          <w:rFonts w:ascii="Arial" w:hAnsi="Arial" w:cs="Arial"/>
          <w:sz w:val="24"/>
          <w:szCs w:val="24"/>
        </w:rPr>
      </w:pPr>
    </w:p>
    <w:p w:rsidR="00E42B79" w:rsidRPr="00E42B79" w:rsidRDefault="00E42B79" w:rsidP="00E42B79">
      <w:pPr>
        <w:numPr>
          <w:ilvl w:val="0"/>
          <w:numId w:val="8"/>
        </w:numPr>
        <w:spacing w:after="0" w:line="240" w:lineRule="auto"/>
        <w:rPr>
          <w:rFonts w:ascii="Arial" w:hAnsi="Arial" w:cs="Arial"/>
          <w:sz w:val="24"/>
          <w:szCs w:val="24"/>
        </w:rPr>
      </w:pPr>
      <w:r w:rsidRPr="00E42B79">
        <w:rPr>
          <w:rFonts w:ascii="Arial" w:hAnsi="Arial" w:cs="Arial"/>
          <w:sz w:val="24"/>
          <w:szCs w:val="24"/>
        </w:rPr>
        <w:t>A protein-digesting enzyme could dissolve a protein jelly, liquefying it.</w:t>
      </w:r>
    </w:p>
    <w:p w:rsidR="00E42B79" w:rsidRPr="00E42B79" w:rsidRDefault="00E42B79" w:rsidP="00E42B79">
      <w:pPr>
        <w:ind w:left="567"/>
        <w:rPr>
          <w:rFonts w:ascii="Arial" w:hAnsi="Arial" w:cs="Arial"/>
          <w:sz w:val="24"/>
          <w:szCs w:val="24"/>
        </w:rPr>
      </w:pPr>
      <w:r w:rsidRPr="00E42B79">
        <w:rPr>
          <w:rFonts w:ascii="Arial" w:hAnsi="Arial" w:cs="Arial"/>
          <w:sz w:val="24"/>
          <w:szCs w:val="24"/>
        </w:rPr>
        <w:t>A fat-digesting enzyme would clarify an emulsion (within a jelly).</w:t>
      </w:r>
    </w:p>
    <w:p w:rsidR="000B1E79" w:rsidRPr="00E42B79" w:rsidRDefault="000B1E79" w:rsidP="000B1E79">
      <w:pPr>
        <w:rPr>
          <w:rFonts w:ascii="Arial" w:hAnsi="Arial" w:cs="Arial"/>
          <w:b/>
          <w:color w:val="008000"/>
          <w:sz w:val="20"/>
          <w:szCs w:val="20"/>
        </w:rPr>
      </w:pPr>
    </w:p>
    <w:sectPr w:rsidR="000B1E79" w:rsidRPr="00E42B79" w:rsidSect="007C5648">
      <w:headerReference w:type="default" r:id="rId10"/>
      <w:footerReference w:type="default" r:id="rId11"/>
      <w:pgSz w:w="11906" w:h="16838"/>
      <w:pgMar w:top="1440" w:right="1701" w:bottom="10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C0A" w:rsidRDefault="00693C0A">
      <w:r>
        <w:separator/>
      </w:r>
    </w:p>
  </w:endnote>
  <w:endnote w:type="continuationSeparator" w:id="0">
    <w:p w:rsidR="00693C0A" w:rsidRDefault="00693C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79" w:rsidRPr="00632D71" w:rsidRDefault="00E42B79" w:rsidP="00632D71">
    <w:pPr>
      <w:pStyle w:val="footer0"/>
      <w:rPr>
        <w:szCs w:val="18"/>
      </w:rPr>
    </w:pPr>
    <w:r w:rsidRPr="00632D71">
      <w:rPr>
        <w:szCs w:val="18"/>
      </w:rPr>
      <w:t>©  Nuffield Foundation / Biosciences Federation 200</w:t>
    </w:r>
    <w:r>
      <w:rPr>
        <w:szCs w:val="18"/>
      </w:rPr>
      <w:t>9</w:t>
    </w:r>
    <w:r w:rsidRPr="00632D71">
      <w:rPr>
        <w:szCs w:val="18"/>
      </w:rPr>
      <w:t xml:space="preserve">    •   Downloaded from   Practicalbiology.org  •  PAGE </w:t>
    </w:r>
    <w:r w:rsidRPr="00632D71">
      <w:rPr>
        <w:rFonts w:eastAsia="Calibri"/>
        <w:szCs w:val="18"/>
      </w:rPr>
      <w:fldChar w:fldCharType="begin"/>
    </w:r>
    <w:r w:rsidRPr="00632D71">
      <w:rPr>
        <w:rFonts w:eastAsia="Calibri"/>
        <w:szCs w:val="18"/>
      </w:rPr>
      <w:instrText xml:space="preserve"> PAGE </w:instrText>
    </w:r>
    <w:r w:rsidRPr="00632D71">
      <w:rPr>
        <w:rFonts w:eastAsia="Calibri"/>
        <w:szCs w:val="18"/>
      </w:rPr>
      <w:fldChar w:fldCharType="separate"/>
    </w:r>
    <w:r w:rsidR="003912AB">
      <w:rPr>
        <w:rFonts w:eastAsia="Calibri"/>
        <w:noProof/>
        <w:szCs w:val="18"/>
      </w:rPr>
      <w:t>1</w:t>
    </w:r>
    <w:r w:rsidRPr="00632D71">
      <w:rPr>
        <w:rFonts w:eastAsia="Calibri"/>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C0A" w:rsidRDefault="00693C0A">
      <w:r>
        <w:separator/>
      </w:r>
    </w:p>
  </w:footnote>
  <w:footnote w:type="continuationSeparator" w:id="0">
    <w:p w:rsidR="00693C0A" w:rsidRDefault="00693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B79" w:rsidRDefault="003912AB" w:rsidP="00EE275A">
    <w:pPr>
      <w:tabs>
        <w:tab w:val="left" w:pos="7308"/>
      </w:tabs>
      <w:rPr>
        <w:rFonts w:ascii="Arial" w:hAnsi="Arial" w:cs="Arial"/>
        <w:b/>
        <w:color w:val="008000"/>
        <w:sz w:val="28"/>
        <w:szCs w:val="28"/>
      </w:rPr>
    </w:pPr>
    <w:r>
      <w:rPr>
        <w:rFonts w:ascii="Arial" w:hAnsi="Arial" w:cs="Arial"/>
        <w:b/>
        <w:noProof/>
        <w:color w:val="008000"/>
        <w:sz w:val="28"/>
        <w:szCs w:val="28"/>
        <w:lang w:eastAsia="en-GB"/>
      </w:rPr>
      <w:drawing>
        <wp:inline distT="0" distB="0" distL="0" distR="0">
          <wp:extent cx="5400675" cy="895350"/>
          <wp:effectExtent l="19050" t="0" r="9525" b="0"/>
          <wp:docPr id="1" name="Picture 1" descr="Studen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sheet header"/>
                  <pic:cNvPicPr>
                    <a:picLocks noChangeAspect="1" noChangeArrowheads="1"/>
                  </pic:cNvPicPr>
                </pic:nvPicPr>
                <pic:blipFill>
                  <a:blip r:embed="rId1"/>
                  <a:srcRect/>
                  <a:stretch>
                    <a:fillRect/>
                  </a:stretch>
                </pic:blipFill>
                <pic:spPr bwMode="auto">
                  <a:xfrm>
                    <a:off x="0" y="0"/>
                    <a:ext cx="5400675" cy="895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6431"/>
    <w:multiLevelType w:val="hybridMultilevel"/>
    <w:tmpl w:val="D49CEC70"/>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B46B14"/>
    <w:multiLevelType w:val="multilevel"/>
    <w:tmpl w:val="0809001D"/>
    <w:styleLink w:val="1ai"/>
    <w:lvl w:ilvl="0">
      <w:start w:val="1"/>
      <w:numFmt w:val="lowerLetter"/>
      <w:lvlText w:val="%1"/>
      <w:lvlJc w:val="left"/>
      <w:pPr>
        <w:tabs>
          <w:tab w:val="num" w:pos="360"/>
        </w:tabs>
        <w:ind w:left="360" w:hanging="360"/>
      </w:pPr>
      <w:rPr>
        <w:rFonts w:ascii="Arial" w:hAnsi="Arial" w:hint="default"/>
        <w:b/>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9D04FC"/>
    <w:multiLevelType w:val="hybridMultilevel"/>
    <w:tmpl w:val="F9C49F38"/>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5C1753"/>
    <w:multiLevelType w:val="hybridMultilevel"/>
    <w:tmpl w:val="8AC0757C"/>
    <w:lvl w:ilvl="0" w:tplc="90662C36">
      <w:start w:val="1"/>
      <w:numFmt w:val="decimal"/>
      <w:lvlText w:val="%1"/>
      <w:lvlJc w:val="left"/>
      <w:pPr>
        <w:tabs>
          <w:tab w:val="num" w:pos="567"/>
        </w:tabs>
        <w:ind w:left="567" w:hanging="567"/>
      </w:pPr>
      <w:rPr>
        <w:rFonts w:ascii="Arial" w:hAnsi="Arial" w:cs="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AB34A3"/>
    <w:multiLevelType w:val="hybridMultilevel"/>
    <w:tmpl w:val="00EE0C3E"/>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B64739"/>
    <w:multiLevelType w:val="multilevel"/>
    <w:tmpl w:val="0809001D"/>
    <w:numStyleLink w:val="1ai"/>
  </w:abstractNum>
  <w:abstractNum w:abstractNumId="6">
    <w:nsid w:val="249E705F"/>
    <w:multiLevelType w:val="hybridMultilevel"/>
    <w:tmpl w:val="718C70C8"/>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3B5642"/>
    <w:multiLevelType w:val="hybridMultilevel"/>
    <w:tmpl w:val="7B283686"/>
    <w:lvl w:ilvl="0" w:tplc="67660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F05E5"/>
    <w:multiLevelType w:val="hybridMultilevel"/>
    <w:tmpl w:val="083886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A16EA1"/>
    <w:multiLevelType w:val="hybridMultilevel"/>
    <w:tmpl w:val="C5584D10"/>
    <w:lvl w:ilvl="0" w:tplc="4EDE1D64">
      <w:start w:val="1"/>
      <w:numFmt w:val="bullet"/>
      <w:lvlText w:val=""/>
      <w:lvlJc w:val="left"/>
      <w:pPr>
        <w:tabs>
          <w:tab w:val="num" w:pos="680"/>
        </w:tabs>
        <w:ind w:left="680" w:hanging="340"/>
      </w:pPr>
      <w:rPr>
        <w:rFonts w:ascii="Symbol" w:hAnsi="Symbol" w:hint="default"/>
        <w:sz w:val="22"/>
        <w:szCs w:val="22"/>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nsid w:val="47443495"/>
    <w:multiLevelType w:val="hybridMultilevel"/>
    <w:tmpl w:val="86F4D9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51A0184"/>
    <w:multiLevelType w:val="hybridMultilevel"/>
    <w:tmpl w:val="C9C884C2"/>
    <w:lvl w:ilvl="0" w:tplc="CDC4803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03F2A"/>
    <w:multiLevelType w:val="hybridMultilevel"/>
    <w:tmpl w:val="C4406892"/>
    <w:lvl w:ilvl="0" w:tplc="5F54ACD6">
      <w:start w:val="1"/>
      <w:numFmt w:val="bullet"/>
      <w:lvlText w:val=""/>
      <w:lvlJc w:val="left"/>
      <w:pPr>
        <w:tabs>
          <w:tab w:val="num" w:pos="34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7CC5587"/>
    <w:multiLevelType w:val="hybridMultilevel"/>
    <w:tmpl w:val="D646B56A"/>
    <w:lvl w:ilvl="0" w:tplc="5F54ACD6">
      <w:start w:val="1"/>
      <w:numFmt w:val="bullet"/>
      <w:lvlText w:val=""/>
      <w:lvlJc w:val="left"/>
      <w:pPr>
        <w:tabs>
          <w:tab w:val="num" w:pos="340"/>
        </w:tabs>
        <w:ind w:left="340" w:hanging="34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96341BF"/>
    <w:multiLevelType w:val="multilevel"/>
    <w:tmpl w:val="0809001D"/>
    <w:numStyleLink w:val="1ai"/>
  </w:abstractNum>
  <w:abstractNum w:abstractNumId="15">
    <w:nsid w:val="698D0392"/>
    <w:multiLevelType w:val="hybridMultilevel"/>
    <w:tmpl w:val="B302E842"/>
    <w:lvl w:ilvl="0" w:tplc="B0F2B572">
      <w:start w:val="1"/>
      <w:numFmt w:val="decimal"/>
      <w:lvlText w:val="%1"/>
      <w:lvlJc w:val="left"/>
      <w:pPr>
        <w:tabs>
          <w:tab w:val="num" w:pos="567"/>
        </w:tabs>
        <w:ind w:left="567" w:hanging="567"/>
      </w:pPr>
      <w:rPr>
        <w:rFonts w:hint="default"/>
        <w:b/>
        <w:i w:val="0"/>
        <w:color w:val="008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DEA01F4"/>
    <w:multiLevelType w:val="singleLevel"/>
    <w:tmpl w:val="C772D8E4"/>
    <w:lvl w:ilvl="0">
      <w:start w:val="1"/>
      <w:numFmt w:val="decimal"/>
      <w:lvlText w:val="%1"/>
      <w:lvlJc w:val="left"/>
      <w:pPr>
        <w:tabs>
          <w:tab w:val="num" w:pos="567"/>
        </w:tabs>
        <w:ind w:left="567" w:hanging="567"/>
      </w:pPr>
      <w:rPr>
        <w:rFonts w:hint="default"/>
        <w:b/>
        <w:i w:val="0"/>
        <w:color w:val="008000"/>
        <w:sz w:val="22"/>
      </w:rPr>
    </w:lvl>
  </w:abstractNum>
  <w:abstractNum w:abstractNumId="17">
    <w:nsid w:val="6FE15845"/>
    <w:multiLevelType w:val="hybridMultilevel"/>
    <w:tmpl w:val="18BC303E"/>
    <w:lvl w:ilvl="0" w:tplc="C262A0A2">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46F2139"/>
    <w:multiLevelType w:val="hybridMultilevel"/>
    <w:tmpl w:val="61C8B54A"/>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69F774F"/>
    <w:multiLevelType w:val="hybridMultilevel"/>
    <w:tmpl w:val="AE7A2570"/>
    <w:lvl w:ilvl="0" w:tplc="4EDE1D64">
      <w:start w:val="1"/>
      <w:numFmt w:val="bullet"/>
      <w:lvlText w:val=""/>
      <w:lvlJc w:val="left"/>
      <w:pPr>
        <w:tabs>
          <w:tab w:val="num" w:pos="907"/>
        </w:tabs>
        <w:ind w:left="907" w:hanging="340"/>
      </w:pPr>
      <w:rPr>
        <w:rFonts w:ascii="Symbol" w:hAnsi="Symbol" w:hint="default"/>
        <w:b/>
        <w:i w:val="0"/>
        <w:sz w:val="22"/>
        <w:szCs w:val="22"/>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num w:numId="1">
    <w:abstractNumId w:val="7"/>
  </w:num>
  <w:num w:numId="2">
    <w:abstractNumId w:val="11"/>
  </w:num>
  <w:num w:numId="3">
    <w:abstractNumId w:val="10"/>
  </w:num>
  <w:num w:numId="4">
    <w:abstractNumId w:val="8"/>
  </w:num>
  <w:num w:numId="5">
    <w:abstractNumId w:val="14"/>
  </w:num>
  <w:num w:numId="6">
    <w:abstractNumId w:val="1"/>
  </w:num>
  <w:num w:numId="7">
    <w:abstractNumId w:val="16"/>
  </w:num>
  <w:num w:numId="8">
    <w:abstractNumId w:val="15"/>
  </w:num>
  <w:num w:numId="9">
    <w:abstractNumId w:val="6"/>
  </w:num>
  <w:num w:numId="10">
    <w:abstractNumId w:val="4"/>
  </w:num>
  <w:num w:numId="11">
    <w:abstractNumId w:val="2"/>
  </w:num>
  <w:num w:numId="12">
    <w:abstractNumId w:val="18"/>
  </w:num>
  <w:num w:numId="13">
    <w:abstractNumId w:val="13"/>
  </w:num>
  <w:num w:numId="14">
    <w:abstractNumId w:val="12"/>
  </w:num>
  <w:num w:numId="15">
    <w:abstractNumId w:val="3"/>
  </w:num>
  <w:num w:numId="16">
    <w:abstractNumId w:val="19"/>
  </w:num>
  <w:num w:numId="17">
    <w:abstractNumId w:val="17"/>
  </w:num>
  <w:num w:numId="18">
    <w:abstractNumId w:val="5"/>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CF1353"/>
    <w:rsid w:val="0001362F"/>
    <w:rsid w:val="00037CE0"/>
    <w:rsid w:val="00050811"/>
    <w:rsid w:val="000865BB"/>
    <w:rsid w:val="00087112"/>
    <w:rsid w:val="00087F30"/>
    <w:rsid w:val="000A15E2"/>
    <w:rsid w:val="000B1E79"/>
    <w:rsid w:val="001069E7"/>
    <w:rsid w:val="001453D0"/>
    <w:rsid w:val="00164347"/>
    <w:rsid w:val="00165072"/>
    <w:rsid w:val="00191FB8"/>
    <w:rsid w:val="001A4A2D"/>
    <w:rsid w:val="002527EF"/>
    <w:rsid w:val="00253A75"/>
    <w:rsid w:val="002B1AED"/>
    <w:rsid w:val="002B7350"/>
    <w:rsid w:val="002C48AA"/>
    <w:rsid w:val="002E1B7D"/>
    <w:rsid w:val="002E278E"/>
    <w:rsid w:val="00322DD7"/>
    <w:rsid w:val="003515D5"/>
    <w:rsid w:val="00367347"/>
    <w:rsid w:val="003843DB"/>
    <w:rsid w:val="003912AB"/>
    <w:rsid w:val="00396566"/>
    <w:rsid w:val="003D5406"/>
    <w:rsid w:val="003E71DE"/>
    <w:rsid w:val="003F2EAD"/>
    <w:rsid w:val="00447C23"/>
    <w:rsid w:val="00452B4E"/>
    <w:rsid w:val="00460EB1"/>
    <w:rsid w:val="00464869"/>
    <w:rsid w:val="004B085A"/>
    <w:rsid w:val="004C77E9"/>
    <w:rsid w:val="00525823"/>
    <w:rsid w:val="005342B1"/>
    <w:rsid w:val="005A6E0E"/>
    <w:rsid w:val="005D7840"/>
    <w:rsid w:val="00601055"/>
    <w:rsid w:val="00626FF6"/>
    <w:rsid w:val="00632D71"/>
    <w:rsid w:val="0063333B"/>
    <w:rsid w:val="00634550"/>
    <w:rsid w:val="006647C3"/>
    <w:rsid w:val="00680B61"/>
    <w:rsid w:val="00685D80"/>
    <w:rsid w:val="00693C0A"/>
    <w:rsid w:val="00694EB2"/>
    <w:rsid w:val="006B23EA"/>
    <w:rsid w:val="007510F9"/>
    <w:rsid w:val="00753FDE"/>
    <w:rsid w:val="007A4FE5"/>
    <w:rsid w:val="007C5648"/>
    <w:rsid w:val="007F028F"/>
    <w:rsid w:val="008107C2"/>
    <w:rsid w:val="00810842"/>
    <w:rsid w:val="0081435C"/>
    <w:rsid w:val="00826FED"/>
    <w:rsid w:val="00850327"/>
    <w:rsid w:val="00852A54"/>
    <w:rsid w:val="00866BE1"/>
    <w:rsid w:val="008B55DB"/>
    <w:rsid w:val="008C1852"/>
    <w:rsid w:val="00907283"/>
    <w:rsid w:val="00952D2D"/>
    <w:rsid w:val="00976BF1"/>
    <w:rsid w:val="00982342"/>
    <w:rsid w:val="00996370"/>
    <w:rsid w:val="009C5B6E"/>
    <w:rsid w:val="009F7E3E"/>
    <w:rsid w:val="00A160E8"/>
    <w:rsid w:val="00A2040C"/>
    <w:rsid w:val="00AA3053"/>
    <w:rsid w:val="00AC3B95"/>
    <w:rsid w:val="00AE16D3"/>
    <w:rsid w:val="00B42C87"/>
    <w:rsid w:val="00B662A6"/>
    <w:rsid w:val="00B81080"/>
    <w:rsid w:val="00B9328E"/>
    <w:rsid w:val="00BB4BF1"/>
    <w:rsid w:val="00BE7A52"/>
    <w:rsid w:val="00BF1A40"/>
    <w:rsid w:val="00C1716D"/>
    <w:rsid w:val="00C77D8A"/>
    <w:rsid w:val="00CA72E1"/>
    <w:rsid w:val="00CF1353"/>
    <w:rsid w:val="00D27DAB"/>
    <w:rsid w:val="00D45D13"/>
    <w:rsid w:val="00D7616B"/>
    <w:rsid w:val="00DD37DC"/>
    <w:rsid w:val="00DD5AD0"/>
    <w:rsid w:val="00DE6E57"/>
    <w:rsid w:val="00E10AFD"/>
    <w:rsid w:val="00E14E99"/>
    <w:rsid w:val="00E42B79"/>
    <w:rsid w:val="00E6239C"/>
    <w:rsid w:val="00E704EE"/>
    <w:rsid w:val="00E836C9"/>
    <w:rsid w:val="00EA6C1A"/>
    <w:rsid w:val="00ED6D8B"/>
    <w:rsid w:val="00EE275A"/>
    <w:rsid w:val="00EE6A09"/>
    <w:rsid w:val="00F03280"/>
    <w:rsid w:val="00F335CA"/>
    <w:rsid w:val="00FB5B56"/>
    <w:rsid w:val="00FF2A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16B"/>
    <w:pPr>
      <w:spacing w:after="200" w:line="276" w:lineRule="auto"/>
    </w:pPr>
    <w:rPr>
      <w:sz w:val="22"/>
      <w:szCs w:val="22"/>
      <w:lang w:eastAsia="en-US"/>
    </w:rPr>
  </w:style>
  <w:style w:type="paragraph" w:styleId="Heading3">
    <w:name w:val="heading 3"/>
    <w:basedOn w:val="Normal"/>
    <w:next w:val="Normal"/>
    <w:qFormat/>
    <w:rsid w:val="00AE16D3"/>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E7"/>
    <w:pPr>
      <w:ind w:left="720"/>
      <w:contextualSpacing/>
    </w:pPr>
  </w:style>
  <w:style w:type="character" w:styleId="PlaceholderText">
    <w:name w:val="Placeholder Text"/>
    <w:basedOn w:val="DefaultParagraphFont"/>
    <w:uiPriority w:val="99"/>
    <w:semiHidden/>
    <w:rsid w:val="00ED6D8B"/>
    <w:rPr>
      <w:color w:val="808080"/>
    </w:rPr>
  </w:style>
  <w:style w:type="paragraph" w:styleId="BalloonText">
    <w:name w:val="Balloon Text"/>
    <w:basedOn w:val="Normal"/>
    <w:link w:val="BalloonTextChar"/>
    <w:uiPriority w:val="99"/>
    <w:semiHidden/>
    <w:unhideWhenUsed/>
    <w:rsid w:val="00ED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8B"/>
    <w:rPr>
      <w:rFonts w:ascii="Tahoma" w:hAnsi="Tahoma" w:cs="Tahoma"/>
      <w:sz w:val="16"/>
      <w:szCs w:val="16"/>
      <w:lang w:val="en-GB"/>
    </w:rPr>
  </w:style>
  <w:style w:type="paragraph" w:styleId="Header">
    <w:name w:val="header"/>
    <w:basedOn w:val="Normal"/>
    <w:rsid w:val="004C77E9"/>
    <w:pPr>
      <w:tabs>
        <w:tab w:val="center" w:pos="4153"/>
        <w:tab w:val="right" w:pos="8306"/>
      </w:tabs>
    </w:pPr>
  </w:style>
  <w:style w:type="paragraph" w:styleId="Footer">
    <w:name w:val="footer"/>
    <w:basedOn w:val="Normal"/>
    <w:rsid w:val="004C77E9"/>
    <w:pPr>
      <w:tabs>
        <w:tab w:val="center" w:pos="4153"/>
        <w:tab w:val="right" w:pos="8306"/>
      </w:tabs>
    </w:pPr>
  </w:style>
  <w:style w:type="character" w:styleId="PageNumber">
    <w:name w:val="page number"/>
    <w:basedOn w:val="DefaultParagraphFont"/>
    <w:rsid w:val="004C77E9"/>
  </w:style>
  <w:style w:type="character" w:styleId="Hyperlink">
    <w:name w:val="Hyperlink"/>
    <w:basedOn w:val="DefaultParagraphFont"/>
    <w:rsid w:val="0063333B"/>
    <w:rPr>
      <w:color w:val="0000FF"/>
      <w:u w:val="single"/>
    </w:rPr>
  </w:style>
  <w:style w:type="table" w:styleId="TableGrid">
    <w:name w:val="Table Grid"/>
    <w:basedOn w:val="TableNormal"/>
    <w:rsid w:val="0008711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0">
    <w:name w:val="footer"/>
    <w:basedOn w:val="Normal"/>
    <w:rsid w:val="00050811"/>
    <w:pPr>
      <w:pBdr>
        <w:top w:val="single" w:sz="4" w:space="4" w:color="auto"/>
      </w:pBdr>
      <w:tabs>
        <w:tab w:val="center" w:pos="4320"/>
        <w:tab w:val="right" w:pos="8640"/>
      </w:tabs>
      <w:spacing w:after="140" w:line="281" w:lineRule="auto"/>
      <w:ind w:right="-1703"/>
    </w:pPr>
    <w:rPr>
      <w:rFonts w:ascii="Helvetica" w:eastAsia="Times New Roman" w:hAnsi="Helvetica"/>
      <w:smallCaps/>
      <w:sz w:val="18"/>
      <w:szCs w:val="20"/>
      <w:lang w:val="en-US" w:eastAsia="en-GB"/>
    </w:rPr>
  </w:style>
  <w:style w:type="paragraph" w:styleId="EnvelopeReturn">
    <w:name w:val="envelope return"/>
    <w:basedOn w:val="Normal"/>
    <w:rsid w:val="00632D71"/>
    <w:rPr>
      <w:rFonts w:ascii="Arial" w:hAnsi="Arial" w:cs="Arial"/>
      <w:sz w:val="20"/>
      <w:szCs w:val="20"/>
    </w:rPr>
  </w:style>
  <w:style w:type="numbering" w:styleId="1ai">
    <w:name w:val="Outline List 1"/>
    <w:aliases w:val="procedure"/>
    <w:basedOn w:val="NoList"/>
    <w:rsid w:val="00AE16D3"/>
    <w:pPr>
      <w:numPr>
        <w:numId w:val="6"/>
      </w:numPr>
    </w:pPr>
  </w:style>
  <w:style w:type="paragraph" w:customStyle="1" w:styleId="Notes">
    <w:name w:val="Notes"/>
    <w:basedOn w:val="Normal"/>
    <w:link w:val="NotesChar1"/>
    <w:rsid w:val="00525823"/>
    <w:pPr>
      <w:spacing w:after="0" w:line="240" w:lineRule="auto"/>
    </w:pPr>
    <w:rPr>
      <w:rFonts w:ascii="Comic Sans MS" w:eastAsia="Times New Roman" w:hAnsi="Comic Sans MS" w:cs="Arial"/>
      <w:sz w:val="24"/>
      <w:lang w:eastAsia="en-GB"/>
    </w:rPr>
  </w:style>
  <w:style w:type="character" w:customStyle="1" w:styleId="NotesChar1">
    <w:name w:val="Notes Char1"/>
    <w:basedOn w:val="DefaultParagraphFont"/>
    <w:link w:val="Notes"/>
    <w:rsid w:val="00525823"/>
    <w:rPr>
      <w:rFonts w:ascii="Comic Sans MS" w:hAnsi="Comic Sans MS" w:cs="Arial"/>
      <w:sz w:val="24"/>
      <w:szCs w:val="22"/>
      <w:lang w:val="en-GB" w:eastAsia="en-GB" w:bidi="ar-SA"/>
    </w:rPr>
  </w:style>
</w:styles>
</file>

<file path=word/webSettings.xml><?xml version="1.0" encoding="utf-8"?>
<w:webSettings xmlns:r="http://schemas.openxmlformats.org/officeDocument/2006/relationships" xmlns:w="http://schemas.openxmlformats.org/wordprocessingml/2006/main">
  <w:divs>
    <w:div w:id="1092163952">
      <w:bodyDiv w:val="1"/>
      <w:marLeft w:val="0"/>
      <w:marRight w:val="0"/>
      <w:marTop w:val="0"/>
      <w:marBottom w:val="0"/>
      <w:divBdr>
        <w:top w:val="none" w:sz="0" w:space="0" w:color="auto"/>
        <w:left w:val="none" w:sz="0" w:space="0" w:color="auto"/>
        <w:bottom w:val="none" w:sz="0" w:space="0" w:color="auto"/>
        <w:right w:val="none" w:sz="0" w:space="0" w:color="auto"/>
      </w:divBdr>
    </w:div>
    <w:div w:id="1285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vt:lpstr>
    </vt:vector>
  </TitlesOfParts>
  <Company>Nuffield Foundation</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Deborah</dc:creator>
  <cp:lastModifiedBy>tempuser1</cp:lastModifiedBy>
  <cp:revision>2</cp:revision>
  <dcterms:created xsi:type="dcterms:W3CDTF">2011-11-15T15:22:00Z</dcterms:created>
  <dcterms:modified xsi:type="dcterms:W3CDTF">2011-11-15T15:22:00Z</dcterms:modified>
</cp:coreProperties>
</file>